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323B">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C2998F2">
      <w:pPr>
        <w:ind w:left="420" w:hanging="880" w:hangingChars="200"/>
        <w:jc w:val="center"/>
        <w:rPr>
          <w:rFonts w:hint="eastAsia" w:ascii="方正小标宋_GBK" w:hAnsi="方正小标宋_GBK" w:eastAsia="方正小标宋_GBK" w:cs="方正小标宋_GBK"/>
          <w:sz w:val="44"/>
          <w:szCs w:val="44"/>
          <w:vertAlign w:val="baseline"/>
          <w:lang w:val="en-US" w:eastAsia="zh-CN"/>
        </w:rPr>
      </w:pPr>
      <w:r>
        <w:rPr>
          <w:rFonts w:hint="eastAsia" w:ascii="方正小标宋_GBK" w:hAnsi="方正小标宋_GBK" w:eastAsia="方正小标宋_GBK" w:cs="方正小标宋_GBK"/>
          <w:sz w:val="44"/>
          <w:szCs w:val="44"/>
          <w:lang w:val="en-US" w:eastAsia="zh-CN"/>
        </w:rPr>
        <w:t>需求响应表</w:t>
      </w:r>
    </w:p>
    <w:tbl>
      <w:tblPr>
        <w:tblStyle w:val="6"/>
        <w:tblW w:w="10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62"/>
        <w:gridCol w:w="5425"/>
        <w:gridCol w:w="1750"/>
        <w:gridCol w:w="987"/>
        <w:gridCol w:w="762"/>
      </w:tblGrid>
      <w:tr w14:paraId="335C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7" w:type="dxa"/>
            <w:vAlign w:val="center"/>
          </w:tcPr>
          <w:p w14:paraId="60852B1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362" w:type="dxa"/>
            <w:vAlign w:val="center"/>
          </w:tcPr>
          <w:p w14:paraId="08CB82B7">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项目名称</w:t>
            </w:r>
          </w:p>
        </w:tc>
        <w:tc>
          <w:tcPr>
            <w:tcW w:w="5425" w:type="dxa"/>
            <w:vAlign w:val="center"/>
          </w:tcPr>
          <w:p w14:paraId="1C2ACB2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系统参数及功能要求</w:t>
            </w:r>
          </w:p>
        </w:tc>
        <w:tc>
          <w:tcPr>
            <w:tcW w:w="1750" w:type="dxa"/>
            <w:vAlign w:val="center"/>
          </w:tcPr>
          <w:p w14:paraId="67F3F3A8">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是否能完全响应项目公告需求</w:t>
            </w:r>
            <w:r>
              <w:rPr>
                <w:rFonts w:hint="eastAsia" w:ascii="宋体" w:hAnsi="宋体" w:eastAsia="宋体" w:cs="宋体"/>
                <w:b/>
                <w:bCs/>
                <w:sz w:val="28"/>
                <w:szCs w:val="28"/>
                <w:vertAlign w:val="baseline"/>
                <w:lang w:val="en-US" w:eastAsia="zh-CN"/>
              </w:rPr>
              <w:br w:type="textWrapping"/>
            </w:r>
            <w:r>
              <w:rPr>
                <w:rFonts w:hint="eastAsia" w:ascii="宋体" w:hAnsi="宋体" w:eastAsia="宋体" w:cs="宋体"/>
                <w:b/>
                <w:bCs/>
                <w:sz w:val="28"/>
                <w:szCs w:val="28"/>
                <w:vertAlign w:val="baseline"/>
                <w:lang w:val="en-US" w:eastAsia="zh-CN"/>
              </w:rPr>
              <w:t>（是/否）</w:t>
            </w:r>
          </w:p>
        </w:tc>
        <w:tc>
          <w:tcPr>
            <w:tcW w:w="987" w:type="dxa"/>
            <w:vAlign w:val="center"/>
          </w:tcPr>
          <w:p w14:paraId="77D60C6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不能响应的原因</w:t>
            </w:r>
          </w:p>
        </w:tc>
        <w:tc>
          <w:tcPr>
            <w:tcW w:w="762" w:type="dxa"/>
            <w:vAlign w:val="center"/>
          </w:tcPr>
          <w:p w14:paraId="4F6FBB4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14:paraId="432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atLeast"/>
          <w:jc w:val="center"/>
        </w:trPr>
        <w:tc>
          <w:tcPr>
            <w:tcW w:w="627" w:type="dxa"/>
            <w:vMerge w:val="restart"/>
            <w:vAlign w:val="center"/>
          </w:tcPr>
          <w:p w14:paraId="059DB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62" w:type="dxa"/>
            <w:vMerge w:val="restart"/>
            <w:vAlign w:val="center"/>
          </w:tcPr>
          <w:p w14:paraId="459C9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清远市第三人民医院HRP医院管理系统采购项目</w:t>
            </w:r>
          </w:p>
        </w:tc>
        <w:tc>
          <w:tcPr>
            <w:tcW w:w="5425" w:type="dxa"/>
          </w:tcPr>
          <w:p w14:paraId="01C0854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一、系统参数及功能要求</w:t>
            </w:r>
          </w:p>
          <w:p w14:paraId="57FF2CC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（一）技术要求</w:t>
            </w:r>
          </w:p>
          <w:p w14:paraId="58E6A7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1.采用B/S 架构，支持 PC 端与移动端访问，统一门户、统一登录、统一流程，具备高稳定性与扩展性。</w:t>
            </w:r>
          </w:p>
          <w:p w14:paraId="6AE6742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2.符合《政府会计制度》双轨核算要求，支持财务会计与预算会计自动关联、适度分离。</w:t>
            </w:r>
          </w:p>
          <w:p w14:paraId="393047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3.支持流程自定义、权限精细化管理、操作日志全程留痕，具备消息催办与状态跟踪功能。</w:t>
            </w:r>
          </w:p>
          <w:p w14:paraId="6DD3E39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4.可与 HIS、OA、采购、物流、设备、药品等系统无缝对接，实现数据互通与业务协同，并包含相关接口调试费用。</w:t>
            </w:r>
          </w:p>
          <w:p w14:paraId="6070B8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 OCR 票据识别、资产条码管理、自动折旧、成本分摊、合同全生命周期管控。</w:t>
            </w:r>
          </w:p>
          <w:p w14:paraId="7E8683E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6.满足数据安全、备份恢复、权限分级、IP溯源等医院信息安全与内控管理要求。</w:t>
            </w:r>
          </w:p>
          <w:p w14:paraId="5EA944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7.支持报表自定义、跨年度查询、批量操作、凭证自动生成，界面简洁易用。</w:t>
            </w:r>
          </w:p>
          <w:p w14:paraId="001AEC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（二）功能要求</w:t>
            </w:r>
          </w:p>
          <w:p w14:paraId="74765D4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1.系统管理平台</w:t>
            </w:r>
          </w:p>
          <w:p w14:paraId="5806DD7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（1）根据医院的组织架构，设置用户角色，分配用户权限。灵活设定组织关系，并可对组织进行启用、关闭等状态设置。</w:t>
            </w:r>
          </w:p>
          <w:p w14:paraId="474F5A5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业务应用都可以便捷的接入门户，统一登录入口。所有业务流程统一申请入口、审核入口、查询入口。支持电脑端、移动端，用户不需要再进入到具体业务系统中操作，在门户上能完成日常相关几乎所有工作。</w:t>
            </w:r>
          </w:p>
          <w:p w14:paraId="1AF9227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（3）基础数据管理，包括公共档案、会计信息、往来单位信息、职工信息、收入信息、成本信息、物资基础信息、资产基础信息、结算信息、项目信息等，并可对以上信息进行自定义设置。</w:t>
            </w:r>
          </w:p>
          <w:p w14:paraId="4BC828E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（4）可对医院、科室的业务流程的重组和灵活设计，实现包括工作流程、审批流程的自定义设计。</w:t>
            </w:r>
          </w:p>
          <w:p w14:paraId="7610635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（5）记录用户在业务系统中的功能操作日志，包括登录单位、ip地址、业务对象、操作名称、业务对象名称、业务对象编码、操作时间等系统日志。</w:t>
            </w:r>
          </w:p>
          <w:p w14:paraId="75AD49C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（6）支持相关人员对消息进行催办，并显示消息状态、催办次数、催办时间等。</w:t>
            </w:r>
          </w:p>
          <w:p w14:paraId="3BAD38B5">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2.财务管理模块</w:t>
            </w:r>
          </w:p>
          <w:p w14:paraId="5A64B3A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（1）贴合政府会计制度 + 医院会计制度双轨核算要求，支出多币种核算，系统须符合财政部《政府会计制度——行政事业单位会计科目和报表》（财会[2017]25号）文件的制度的科目、核算原则与报表要求，财务会计和预算会计互相衔接、适度分离，自动关联生成预算凭证，实现财务全流程数字化。</w:t>
            </w:r>
          </w:p>
          <w:p w14:paraId="5C8C3B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总账管理，总账管理用来记录医院发生的各种经济业务在账务上反映的全部内容；反映医院账务处理的全过程，从账务处理所需初始信息，到凭证录入、审核、记账，以及各种辅助核算账信息的输入和输出，包括部门核算、供应商核算、科研项目核算和往来核算等，产生各种会计账簿输出打印等内容。包括凭证制单、自动凭证、凭证审核、凭证记账、凭证打印、凭证模板、凭证统计等信息。设置并初始化账套得期初数据。包括年初余额调整、科目初始账功能。支持对年度账套初始调整凭证以实现新年度核算口径或科目调整需要。完成凭证相关的全业务操作，包括有凭证录入、自动凭证、凭证模板、凭证转换、现金流量标注、凭证审核、凭证记账、出纳签字、凭证分册等功能。支持与HIS收费、采购管理、固定资产、合同管理、设备管理、物流管理、现金管理、薪酬管理、药品管理、报销系统的对接，设置自动凭证模板。提供凭证多种方式录入功能：手工录入凭证、按照凭证模板生成凭证、草稿凭证生成凭证；支持凭证模板自定义设置。支持现金流量实时标注和批量标注，支持凭证单个和批量审核，凭证审核时，能够填写审核批注，支持凭证按期间批量记账，在凭证查看过程中提供凭证作废、导出、删除、冲销、导入、整理等多种操作功能。支持差异项目自动标注和查询，支持凭证批量打，套打、自定义打印。支持凭证查询时对明细账、总账、原始单据进行联查功能。提供对凭证及账表跨年度查询功能，同时可自定义账表的格式和可自定义查询条件。支持财务账与物资、资产的业务账对账，保障医院账帐相符。当一个会计期间内完成了所有会计业务活动，对当前会计期间关账，提供财务会计期末结转和预算会计的期末结转功能，实现自动期末结转。支持记账以后凭证内容不可修改；支持自定义查询，多维度核算，查询，并导出报表。</w:t>
            </w:r>
          </w:p>
          <w:p w14:paraId="2465F50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纳管理，出纳管理系统可以处理医院现金和支票的收支费用处理，通过项目收支核算生成相关费用凭证，形成出纳收付款单据，而会计人员在凭证处理时只需选择相关的出纳单据，就可以自动产生收支报表、日记帐以及银行调节表输出。支持便捷的录入单位收支业务流水账；也要求支持EXCEL模板导入；同时要求支持上游业务单据自动生成日记账。支持期初未达数据的录入和调节；支持提供自动对账、手工对账、快速对账等多种方式；支持出纳对账以及对账结果查询；支持银行对账，银行对账结果查询并生成余额调节表并输出。</w:t>
            </w:r>
          </w:p>
          <w:p w14:paraId="7B20402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往来管理，主要实现医院与往来单位、职工、科室之间的资金往来管理。针对同一科目的借贷方发生数据之间进行勾对核销处理。支持自动核销、集中核销、手工核销三种模式。可以在凭证制作保存后即时核销往来款项，也可以集中核销。支持对往来业务情况的多种查询报表。包括有余额查询、往来明细账、核销清册、催款单、未核销预警查询、未核销明细查询等功能。支持应收或应付科目未核销的往来账龄自定义分布查询输出，支持余额百分比法、账龄分析法、个别认定法等多种方法计提坏账。</w:t>
            </w:r>
          </w:p>
          <w:p w14:paraId="0ED42A4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表管理，系统能自动出具并输出政府会计制度要求的财务报表，包括资产负债表、收入费用总表、医疗收入费用明细表、现金流量表、本年盈余与预算结余的差异情况表、医疗活动收入费用明细表、预算收入支出表、业务收入费用表等；能够根据常用的报表取数公式，直接获取账务中的数据。取数公式满足新制度中要求的财务报表和预算会计报表的取数要求，可按医院要求进行个性化报表的自定义。</w:t>
            </w:r>
          </w:p>
          <w:p w14:paraId="50103D29">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3.全面预算管理模块</w:t>
            </w:r>
          </w:p>
          <w:p w14:paraId="4E602BF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面预算管理系统主要包括预算编制、预算审核、预算调整、预算执行、预算报表、预算分析几大功能。系统实现建立面向全员、全过程的全面预算管理体系，覆盖预算编制、预算执行、预算调整的全过程闭环式管理；构建医院级、归口管理级、业务科室级三级预算管控体系，确保全员参与；涵盖收入预算、支出预算、项目预算以及资本性支出预算的全额预算管理体系，支持医院实际情况，进行细化或者增减。支持预算系统的基本参数维护设置，包括预算年度、科室信息、预算项目信息、预算申报流程等。支持按照年度、版本、部门、项目、资金来源、人员类别等不同的维度自定义设置预算模版；支持预算指标的定义、变更、控制；能对预算指标进行院级预算或归口科室、预算项目次关系定义、下发科室的设置、是否必须填制明细、是否关联报销及报销控制方式（科室控制、院级控制）等进行控制，支持设置预算样表的归口科室、填报科室和截止填报时间。支持院内项目库管理，提供项目立项基本信息登记，显示项目状态，项目年度结转。支持建立绩效指标库，支持根据论证项目类型预置论证内容，支持论证类型的自定义；支持论证的在线申请及在线审核。</w:t>
            </w:r>
          </w:p>
          <w:p w14:paraId="2A90091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预算科室编制、归口科室编制、财务科室编制等多种预算编制模式；支持权限控制，预算科室可编制拥有编制权限的数据；支持多上多下预算编制。支持根据角色权限查询全院各级预算编制情况，支持根据角色权限审批全院各级预算，支持预算办公室对全院的预算的试算平衡，支持全院级预算审核和驳回，以及启用二上、三上编制；支持生成供预算委员会上会审核的上会报表；支持全院层面的编制状态查看和编制数据查看，支持自定义预算分析报表。</w:t>
            </w:r>
          </w:p>
          <w:p w14:paraId="58340DD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支持符合内控规范的调整流程，包括预算调整单申请、调整单审批。预算调整申请单支持对权限范围内预算的调剂、调增、调减，调整申请单支持保存、提交功能，调整单提交后系统自动按符合内控的工作流程流转至审批人环节里。</w:t>
            </w:r>
          </w:p>
          <w:p w14:paraId="290D108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从其他系统提取以业务发生数据作为执行数据，也支持手工录入执行数据进行核销，支持自定义预算控制规则，对预算执行超预算、超比例进行预警。支持预算指标的使用与合同、报销及会计核算系统的关联控制，支持手工录入预算执行申请及预算执行审批。</w:t>
            </w:r>
          </w:p>
          <w:p w14:paraId="0AE9FD7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支持预算科室和归口科室从指标、事项、项目、科室的维度对预算执行情况进行查询。支持预算科室和归口科室从指标、事项、项目、科室的维度对预算执行情况进行查询。所有表单支持导出。</w:t>
            </w:r>
          </w:p>
          <w:p w14:paraId="23813955">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4.报销管理系统</w:t>
            </w:r>
          </w:p>
          <w:p w14:paraId="2E85A0EE">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合医院财务审批制度、内控制度等要求，将所有资金使用业务的内部控制节点内置到系统中。支持通过移动端或PC终端网上报销，实现借款和日常报销管理，医院领导和职能科室通过智能移动端或PC终端进行审批。支持自定义不同类型报销单，支持自定义审批流程，针对不同类型的报账单据可配置不同的审批流程。实现报销业务从报销申请--预算占用--报销事项记录--报销单形成--报销审批--财务凭证生成的全过程信息化，自动接收预算额度指标控制；与出纳、财务一体化，自动完成付款与核算。支持利用OCR自动识别技术，自动识别上传的纸质及电子票据，简化报销录入过程，规避发票真伪和重复使用风险。支持对发票库的管理，支持通过发票发起报销单。</w:t>
            </w:r>
          </w:p>
          <w:p w14:paraId="0652EC9D">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单据流程化审核功能，针对申请、借款、报销等业务支持工作流配置，能够按业务流程完成业务审批。并可根据不同岗位设置审批、审核权限。支持审批消息提醒，让审批人员及时完成单据审批。报销业务与财务账务一体化处理，自动生成相关的财务凭证，形成财务的闭环处理。需要可以灵活拓展医院各种业务功能模块，满足医院报销业务未来发展的需求，且可以与全面预算管理系统、财务系统、OA系统互联互通。</w:t>
            </w:r>
          </w:p>
          <w:p w14:paraId="25FFEA51">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5.固定资产管理模块</w:t>
            </w:r>
          </w:p>
          <w:p w14:paraId="52FA3DE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现医院资产入库、领用与使用、清查与盘点、变动与处置、发票与付款、折旧摊销到统计分析的全过程管理。支持每一个固定资产设置唯一的编号管理资产的新增、变动、计提折旧、调拨、报废等资产运行中的各种实际的业务操作，支持《政府会计制度——行政事业单位会计科目和报表》改革相关文件对医院固定资产折旧方式，折旧年限等新要求。</w:t>
            </w:r>
          </w:p>
          <w:p w14:paraId="5FBE35E5">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初始数据外部导入，支持提供基于卡片的固定资产管理模块，自动计提折旧；支持多种资金来源形成的固定资产，进行单一资金来源或多种资金来源组合的分科室部门、分资产类别管理。支持根据多种资金来源比例登记固定资产原值、按比例分别计提固定资产折旧，确保不同资金来源的固定资产核算管理的清晰完整。支持按照不同资金来源登记资产原值信息，并能够按照资金的来源进行折旧，生成按照新制度要求的会计凭证，提高资产折旧效率。支持建立固定资产总账、资产二级明细账和资产台账及其资产卡片，实现资产的“三账一卡”管理。支持以资产卡片为中心的档案管理，能够实现资产卡片的自定义，根据不同资产的管理要求定义资产卡片模板。支持资产档案管理，系统支持资产的电子档案管理，包括资产图片与各种电子资料。支持对资产折旧按实际使用科室拆分计算的功能，保证折旧成本的准确，资产折旧、维修等财务信息与财务成本核算系统紧密集成，自动生成财务成本凭证。支持各级资产管理人员可按权限查询资产明细、使用状态和折旧情况，并导出相关报表。</w:t>
            </w:r>
          </w:p>
          <w:p w14:paraId="41D96469">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资产转移（科室-科室/仓库-仓库/放置区域-放置区域）单据新增功能；支持转移单审核和反审功能；支持转移单查询及打印功能。支持资产原值变动功能，可进行资产卡片的原值、累计折旧、折旧年限、工作量调整生成原值变动单据；支持变动单据审核和反审功能；支持变动单据查询和打印功能。可进行资产卡片使用状态变更，并支持卡片批量变更。支持使用状态变动单审核和反审功能；支持使用状态变动单据查询和打印功能。支持资金来源调整单据，审核后，可调整资产卡片资金来源数据，并支持重新计算期间折旧。支持资产的减少、回退、报废、盘亏等业务数据单据录入、审批、生效等。以持定期出具盘点表，进行盘盈资产、差异资产录入。支持资产条码盘点，能根据盘点结果自动生成盘盈、盘亏单据。支持资产按使用科室、按管理科室、按使用状态、按原值、按资金来源等多种方式进行盘点；</w:t>
            </w:r>
          </w:p>
          <w:p w14:paraId="21BE7EE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资产条码盘点，支持资产的全程条码应用，包括出入库、调拨等业务场景。资产单位内部或跨组织调拨调出，调入单位可协同调入。业务单据录入、审批、生效等。支持资产处置流程单据发起、审批、生效等。支持提供财务报表统计查询、导出功能，包括折旧到期表、科室折旧明细表、资产折旧汇总表、折旧费用分配表、折旧计提汇总表、资产月报、资产总账、变动账表、折旧汇总表、资产明细表等。</w:t>
            </w:r>
          </w:p>
          <w:p w14:paraId="0DEDB0F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6.成本核算模块</w:t>
            </w:r>
          </w:p>
          <w:p w14:paraId="02B25E5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室成本管理系统是将医院业务活动中所发生的各种耗费以科室为核算对象进行归集和分配，计算出科室成本的过程。包括院级成本核算、科室成本核算、诊次成本核算、床日成本核算，通过核算系统最终生成科室成本核算结果数据和科室成本报表。支持对系统的角色、用户、权限等进行管理，系统需具备基础数据维护功能，包括成本核算中心设置、成本项目设置、收入项目设置、支出项目设置、成本期间设置、会计科目设置、数据词典维护等。支持根据对应关系自动对成本进行归集的功能，归集过程中可提供成本数据与成本总账的校验功能。支持对成本的二次分配管理，可根据管理需要灵活设定分配和归集的先后顺序，可根据分配规则自动对成本进行分配，最终计算出院级全成本。支持针对间接成本分摊自定义分摊方案，支持按同一科室不同项目设置不同的分摊方案，也支持同一项目设置分摊方案分摊到指定科室。支持《公立医院成本核算规范》成本管理报表的自动生成，要求支持报表自定义功能，并生成报表进行导出、打印等功能，形成医院个性化需求报表，满足医院未来扩展报表的要求。</w:t>
            </w:r>
          </w:p>
          <w:p w14:paraId="5877EAC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7.合同管理模块</w:t>
            </w:r>
          </w:p>
          <w:p w14:paraId="4E8AF84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满足医院各类经济合同、非经济合同的管理需求，业务应全面覆盖。能够实现从合同起草、合同履行、合同解除、合同归档、保证金管理、违约索赔管理到合同到期处理的全生命周期管理。</w:t>
            </w:r>
          </w:p>
          <w:p w14:paraId="7BF964C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对期初合同（历史合同）进行整理一次性导入。可展示当前合同的总份数、各类合同金额、合同目前的流程状态和超出预定审核期限的合同提醒等，并且提供待审批事项的快捷操作入口。支持定义各类收款合同、付款合同、框架合同类型。  支持设置各类合同结算控制方式，不控制还是强制控制，强制控制是按照合同总额控制，还是按照合同的收/付款计划控制。</w:t>
            </w:r>
          </w:p>
          <w:p w14:paraId="3C817EE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各类型合同格式化表单信息的填写，确定后的表单信息能够生成合同正文。合同起草支持与预算系统关联，能够实现无预算不签署。支持全院各类合同统一编码管理。合同申请录入时，不同类型合同，调出不同模版（各类型合同模版）、部分通用条款（合同标准条款）、支持标的导入、支持第三方编辑合同信息。 合同申请支持发起审批流程走院内审批，审核过后的合同，支持后续合同正常签订，同时支持合同的加签和转签。审批过程中，如因原因终止，合同申请作废，并同时释放预算的占用。</w:t>
            </w:r>
          </w:p>
          <w:p w14:paraId="14A4488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支持从合同申请流转至合同签订。合同签订支持与内部招标管理系统协同使用，支持从中标通知流转至合同签订。合同签订支持与内部医采平台系统协同使用，支持从医采平台流转至合同签订。合同签订支持直接发起，通过不同的合同类型，调出不同的表单信息进行填写标的内容、付款计划内容、预算内容等，填写后直接生成完整合同信息，并支持按照院内审批进行规范化流程审批。各类合同业务的审核过程支持追溯、流程透明化。非样式合同支持合同文本在线打开和批注留痕，保留每次修改的版本；支持选择合同模板，并按照匹配的模板类型生成相应的合同类型；支持按照内控要求及医院管理制度内置各个合同审核流程及需要送审资料清单目录；支持按内控要求分配审核权限及审核内容；支持合同签订依据相关资料的上传和查看；支持在审批过程中，对合同附件内容，进行在线编辑。</w:t>
            </w:r>
          </w:p>
          <w:p w14:paraId="095F3932">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签章状态的设置，支持合同电子签章对接；提供合同正文的打印，支持一个合同各个版本的正文打印，并且对于合同起草审批通过的合同，在打印时会增加水印和打印编码。支持对审批通过的合同进行合同定稿，支持按内控管理权限及医院内部管理制度对合同的表单及合同的附件进行归档，归档申请审批通过后，会生成该合同的档案编号，支持对合同附件进行归档，归档后的内容支持进行查看。支持合同内容比对功能，比对形成比对报告，比对报告支持进行查阅。</w:t>
            </w:r>
          </w:p>
          <w:p w14:paraId="2732EC20">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合同执行过程中业务跟踪查询，包括合同项目完成进度、付款进度、合同付款金额、合同状态、合同详情等，支持根据合同内容及相关验收登记表模板生成对应的验收登记表。支持按照收付款计划、保证金计划进行收付款登记，提供生成结算单的功能。对于需要收取保证金的付款合同，支持制定合同的保证金收款和退款计划。支持收到的履约银行保函信息的登记。支持按照收付款计划、保证金计划进行收付款登记，提供生成结算单的功能。对合同违约情况进行登记记录。对合同索赔情况进行登记记录。支持设置各类合同预警，根据合同到期提醒规则，进行保证金归还预警、保修期到期预警、应收应付款提醒、到货提醒、到期续签等，支持自定义合同各类状态预警。支持对医院进行中的合同及历史合同进行不同维度的统计展示，用以满足医院的数据统计要求。</w:t>
            </w:r>
          </w:p>
          <w:p w14:paraId="6E8D7AD9">
            <w:pPr>
              <w:rPr>
                <w:rFonts w:hint="eastAsia" w:ascii="宋体" w:hAnsi="宋体" w:eastAsia="宋体" w:cs="宋体"/>
                <w:sz w:val="24"/>
                <w:szCs w:val="24"/>
                <w:lang w:val="en-US" w:eastAsia="zh-CN"/>
              </w:rPr>
            </w:pPr>
          </w:p>
        </w:tc>
        <w:tc>
          <w:tcPr>
            <w:tcW w:w="1750" w:type="dxa"/>
          </w:tcPr>
          <w:p w14:paraId="6C5EA6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987" w:type="dxa"/>
          </w:tcPr>
          <w:p w14:paraId="0EC9A1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762" w:type="dxa"/>
          </w:tcPr>
          <w:p w14:paraId="408007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r w14:paraId="6135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627" w:type="dxa"/>
            <w:vMerge w:val="continue"/>
            <w:vAlign w:val="center"/>
          </w:tcPr>
          <w:p w14:paraId="4B1ED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vertAlign w:val="baseline"/>
                <w:lang w:val="en-US" w:eastAsia="zh-CN" w:bidi="ar-SA"/>
              </w:rPr>
            </w:pPr>
          </w:p>
        </w:tc>
        <w:tc>
          <w:tcPr>
            <w:tcW w:w="1362" w:type="dxa"/>
            <w:vMerge w:val="continue"/>
            <w:vAlign w:val="center"/>
          </w:tcPr>
          <w:p w14:paraId="7DDB86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vertAlign w:val="baseline"/>
                <w:lang w:val="en-US" w:eastAsia="zh-CN" w:bidi="ar-SA"/>
              </w:rPr>
            </w:pPr>
          </w:p>
        </w:tc>
        <w:tc>
          <w:tcPr>
            <w:tcW w:w="5425" w:type="dxa"/>
          </w:tcPr>
          <w:p w14:paraId="3A3976D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r>
              <w:rPr>
                <w:rFonts w:hint="eastAsia" w:ascii="仿宋_GB2312" w:hAnsi="仿宋_GB2312" w:eastAsia="仿宋_GB2312" w:cs="仿宋_GB2312"/>
                <w:b w:val="0"/>
                <w:bCs/>
                <w:kern w:val="2"/>
                <w:sz w:val="24"/>
                <w:szCs w:val="24"/>
                <w:highlight w:val="none"/>
                <w:lang w:val="en-US" w:eastAsia="zh-CN" w:bidi="ar-SA"/>
              </w:rPr>
              <w:t>二</w:t>
            </w:r>
            <w:r>
              <w:rPr>
                <w:rFonts w:hint="eastAsia" w:ascii="宋体" w:hAnsi="宋体" w:eastAsia="宋体" w:cs="宋体"/>
                <w:sz w:val="24"/>
                <w:szCs w:val="24"/>
                <w:lang w:val="en-US" w:eastAsia="zh-CN"/>
              </w:rPr>
              <w:t>、资质要求</w:t>
            </w:r>
          </w:p>
          <w:p w14:paraId="335DC98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1.企业资质：供应商必须是合法注册的企业，具备有效的营业执照。</w:t>
            </w:r>
          </w:p>
          <w:p w14:paraId="639D13C4">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2.行业经验：须具备医疗卫生行业HRP系统开发和服务经验，拥有不少于两个医院或大型机构的成功上线案例，并提供相关证明（合同关键页）和用户名单。</w:t>
            </w:r>
          </w:p>
          <w:p w14:paraId="55D44B7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3.技术实力：拥有自主知识产权的HRP软件产品，提供软件著作权登记证书。项目实施团队需具备PMP或同类认证资质。</w:t>
            </w:r>
          </w:p>
          <w:p w14:paraId="042F17A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4.投标软件必须兼容信息技术应用创新生态环境（服务器、数据库、桌面操作系统等），并提供证明。</w:t>
            </w:r>
          </w:p>
          <w:p w14:paraId="1742E7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5.售后服务：能提供7x24小时的即时响应和本地化技术支持服务，并承诺明确的故障解决时限。</w:t>
            </w:r>
          </w:p>
          <w:p w14:paraId="5E7657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6.提供7×24小时应急响应服务承诺书。</w:t>
            </w:r>
          </w:p>
          <w:p w14:paraId="2DAC54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7.质保期：一年。</w:t>
            </w:r>
          </w:p>
          <w:p w14:paraId="61CB0FE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三、工期要求</w:t>
            </w:r>
          </w:p>
          <w:p w14:paraId="2BC7393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签订合同后</w:t>
            </w:r>
            <w:bookmarkStart w:id="0" w:name="_GoBack"/>
            <w:bookmarkEnd w:id="0"/>
            <w:r>
              <w:rPr>
                <w:rFonts w:hint="eastAsia" w:ascii="宋体" w:hAnsi="宋体" w:eastAsia="宋体" w:cs="宋体"/>
                <w:sz w:val="24"/>
                <w:szCs w:val="24"/>
                <w:lang w:val="en-US" w:eastAsia="zh-CN"/>
              </w:rPr>
              <w:t>180个工作日内完成设备供应及安装调试工作。</w:t>
            </w:r>
          </w:p>
        </w:tc>
        <w:tc>
          <w:tcPr>
            <w:tcW w:w="1750" w:type="dxa"/>
          </w:tcPr>
          <w:p w14:paraId="7D5F49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vertAlign w:val="baseline"/>
                <w:lang w:val="en-US" w:eastAsia="zh-CN" w:bidi="ar-SA"/>
              </w:rPr>
            </w:pPr>
          </w:p>
        </w:tc>
        <w:tc>
          <w:tcPr>
            <w:tcW w:w="987" w:type="dxa"/>
          </w:tcPr>
          <w:p w14:paraId="7E30EB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vertAlign w:val="baseline"/>
                <w:lang w:val="en-US" w:eastAsia="zh-CN" w:bidi="ar-SA"/>
              </w:rPr>
            </w:pPr>
          </w:p>
        </w:tc>
        <w:tc>
          <w:tcPr>
            <w:tcW w:w="762" w:type="dxa"/>
          </w:tcPr>
          <w:p w14:paraId="55CDD1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4"/>
                <w:szCs w:val="24"/>
                <w:vertAlign w:val="baseline"/>
                <w:lang w:val="en-US" w:eastAsia="zh-CN" w:bidi="ar-SA"/>
              </w:rPr>
            </w:pPr>
          </w:p>
        </w:tc>
      </w:tr>
    </w:tbl>
    <w:p w14:paraId="674E6B75">
      <w:pPr>
        <w:rPr>
          <w:rFonts w:hint="eastAsia" w:ascii="宋体" w:hAnsi="宋体" w:eastAsia="宋体" w:cs="宋体"/>
          <w:sz w:val="24"/>
          <w:szCs w:val="24"/>
          <w:lang w:val="en-US" w:eastAsia="zh-CN"/>
        </w:rPr>
      </w:pPr>
    </w:p>
    <w:sectPr>
      <w:footerReference r:id="rId3" w:type="default"/>
      <w:pgSz w:w="11906" w:h="16838"/>
      <w:pgMar w:top="1134" w:right="567" w:bottom="1134"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ACB2C7-0C90-4219-9EAF-D9C451BB1E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2BF5F6-1E4F-41D0-9D3E-07B0D4B43C0B}"/>
  </w:font>
  <w:font w:name="方正小标宋_GBK">
    <w:panose1 w:val="03000502000000000000"/>
    <w:charset w:val="86"/>
    <w:family w:val="auto"/>
    <w:pitch w:val="default"/>
    <w:sig w:usb0="00000001" w:usb1="080E0000" w:usb2="00000000" w:usb3="00000000" w:csb0="00040000" w:csb1="00000000"/>
    <w:embedRegular r:id="rId3" w:fontKey="{5BCA5B7B-C8D8-402E-A5E5-9C5A9292DF00}"/>
  </w:font>
  <w:font w:name="仿宋_GB2312">
    <w:panose1 w:val="02010609030101010101"/>
    <w:charset w:val="86"/>
    <w:family w:val="auto"/>
    <w:pitch w:val="default"/>
    <w:sig w:usb0="00000001" w:usb1="080E0000" w:usb2="00000000" w:usb3="00000000" w:csb0="00040000" w:csb1="00000000"/>
    <w:embedRegular r:id="rId4" w:fontKey="{23633E69-092E-4736-9F67-04C013C47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01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E552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E552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44DA0"/>
    <w:rsid w:val="00260093"/>
    <w:rsid w:val="027701B7"/>
    <w:rsid w:val="0F386966"/>
    <w:rsid w:val="11A71B81"/>
    <w:rsid w:val="120C7C36"/>
    <w:rsid w:val="13127820"/>
    <w:rsid w:val="13D1738A"/>
    <w:rsid w:val="14D66C67"/>
    <w:rsid w:val="1521018D"/>
    <w:rsid w:val="186C7681"/>
    <w:rsid w:val="1A50725A"/>
    <w:rsid w:val="1D1F4CC2"/>
    <w:rsid w:val="212E7BC9"/>
    <w:rsid w:val="24047E64"/>
    <w:rsid w:val="27AA409B"/>
    <w:rsid w:val="2BB1742D"/>
    <w:rsid w:val="33BA7EAC"/>
    <w:rsid w:val="34BF0430"/>
    <w:rsid w:val="3B88567F"/>
    <w:rsid w:val="3E196AA7"/>
    <w:rsid w:val="430D368B"/>
    <w:rsid w:val="44AE6A9E"/>
    <w:rsid w:val="47BF2E21"/>
    <w:rsid w:val="486F6FEC"/>
    <w:rsid w:val="4AE41175"/>
    <w:rsid w:val="4B844DA0"/>
    <w:rsid w:val="50F062F4"/>
    <w:rsid w:val="54B1183C"/>
    <w:rsid w:val="54FB112E"/>
    <w:rsid w:val="589C308F"/>
    <w:rsid w:val="5A4C2893"/>
    <w:rsid w:val="5AFC6067"/>
    <w:rsid w:val="5C9F7ADB"/>
    <w:rsid w:val="60B116A2"/>
    <w:rsid w:val="6116198D"/>
    <w:rsid w:val="62FE127D"/>
    <w:rsid w:val="64913287"/>
    <w:rsid w:val="6A9C0CCD"/>
    <w:rsid w:val="6EEB3C07"/>
    <w:rsid w:val="73E060CE"/>
    <w:rsid w:val="78CA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38"/>
      <w:szCs w:val="3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6968</Words>
  <Characters>7033</Characters>
  <Lines>0</Lines>
  <Paragraphs>0</Paragraphs>
  <TotalTime>31</TotalTime>
  <ScaleCrop>false</ScaleCrop>
  <LinksUpToDate>false</LinksUpToDate>
  <CharactersWithSpaces>7044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2025-02-14T08:00:00Z</dcterms:created>
  <dc:creator>涛.</dc:creator>
  <cp:lastModifiedBy>zyx</cp:lastModifiedBy>
  <cp:lastPrinted>2026-04-27T07:21:17Z</cp:lastPrinted>
  <dcterms:modified xsi:type="dcterms:W3CDTF">2026-04-27T07:43:29Z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7800384F025D4A5F83B617D83A280BC8_13</vt:lpwstr>
  </property>
  <property fmtid="{D5CDD505-2E9C-101B-9397-08002B2CF9AE}" pid="4" name="KSOTemplateDocerSaveRecord">
    <vt:lpwstr>eyJoZGlkIjoiMzU0ZjFkMzM1MWFmODU2MmE5NTBkZDU2ZjIxYjEwYjUiLCJ1c2VySWQiOiI2NDg3NTE5NzYifQ==</vt:lpwstr>
  </property>
</Properties>
</file>