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6A1B27">
      <w:pPr>
        <w:jc w:val="both"/>
        <w:rPr>
          <w:rFonts w:hint="default" w:ascii="黑体" w:hAnsi="黑体" w:eastAsia="黑体" w:cs="黑体"/>
          <w:sz w:val="44"/>
          <w:szCs w:val="44"/>
          <w:lang w:val="en-US" w:eastAsia="zh-CN"/>
        </w:rPr>
      </w:pPr>
      <w:r>
        <w:rPr>
          <w:rFonts w:hint="eastAsia" w:ascii="黑体" w:hAnsi="黑体" w:eastAsia="黑体" w:cs="黑体"/>
          <w:sz w:val="44"/>
          <w:szCs w:val="44"/>
          <w:lang w:val="en-US" w:eastAsia="zh-CN"/>
        </w:rPr>
        <w:t>附件2</w:t>
      </w:r>
      <w:bookmarkStart w:id="0" w:name="_GoBack"/>
      <w:bookmarkEnd w:id="0"/>
    </w:p>
    <w:p w14:paraId="323E3A48">
      <w:pPr>
        <w:ind w:firstLine="2640" w:firstLineChars="600"/>
        <w:jc w:val="both"/>
        <w:rPr>
          <w:rFonts w:hint="default"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项目需求响应表</w:t>
      </w:r>
      <w:r>
        <w:rPr>
          <w:rFonts w:hint="eastAsia" w:ascii="方正小标宋_GBK" w:hAnsi="方正小标宋_GBK" w:eastAsia="方正小标宋_GBK" w:cs="方正小标宋_GBK"/>
          <w:sz w:val="44"/>
          <w:szCs w:val="44"/>
          <w:lang w:val="en-US" w:eastAsia="zh-CN"/>
        </w:rPr>
        <w:br w:type="textWrapping"/>
      </w:r>
    </w:p>
    <w:tbl>
      <w:tblPr>
        <w:tblStyle w:val="2"/>
        <w:tblpPr w:leftFromText="180" w:rightFromText="180" w:vertAnchor="text" w:tblpX="1" w:tblpY="1"/>
        <w:tblOverlap w:val="never"/>
        <w:tblW w:w="4998" w:type="pct"/>
        <w:tblInd w:w="0" w:type="dxa"/>
        <w:tblLayout w:type="fixed"/>
        <w:tblCellMar>
          <w:top w:w="0" w:type="dxa"/>
          <w:left w:w="108" w:type="dxa"/>
          <w:bottom w:w="0" w:type="dxa"/>
          <w:right w:w="108" w:type="dxa"/>
        </w:tblCellMar>
      </w:tblPr>
      <w:tblGrid>
        <w:gridCol w:w="645"/>
        <w:gridCol w:w="4637"/>
        <w:gridCol w:w="1620"/>
        <w:gridCol w:w="1617"/>
      </w:tblGrid>
      <w:tr w14:paraId="0E8396BB">
        <w:tblPrEx>
          <w:tblCellMar>
            <w:top w:w="0" w:type="dxa"/>
            <w:left w:w="108" w:type="dxa"/>
            <w:bottom w:w="0" w:type="dxa"/>
            <w:right w:w="108" w:type="dxa"/>
          </w:tblCellMar>
        </w:tblPrEx>
        <w:trPr>
          <w:trHeight w:val="869" w:hRule="atLeast"/>
        </w:trPr>
        <w:tc>
          <w:tcPr>
            <w:tcW w:w="378" w:type="pct"/>
            <w:tcBorders>
              <w:top w:val="single" w:color="auto" w:sz="4" w:space="0"/>
              <w:left w:val="single" w:color="auto" w:sz="4" w:space="0"/>
              <w:bottom w:val="single" w:color="auto" w:sz="4" w:space="0"/>
              <w:right w:val="single" w:color="auto" w:sz="4" w:space="0"/>
            </w:tcBorders>
            <w:vAlign w:val="center"/>
          </w:tcPr>
          <w:p w14:paraId="44431B5D">
            <w:pPr>
              <w:widowControl/>
              <w:numPr>
                <w:ilvl w:val="0"/>
                <w:numId w:val="0"/>
              </w:numPr>
              <w:spacing w:line="320" w:lineRule="exact"/>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bidi="ar-SA"/>
              </w:rPr>
              <w:t>序号</w:t>
            </w:r>
          </w:p>
        </w:tc>
        <w:tc>
          <w:tcPr>
            <w:tcW w:w="2721" w:type="pct"/>
            <w:tcBorders>
              <w:top w:val="single" w:color="auto" w:sz="4" w:space="0"/>
              <w:left w:val="single" w:color="auto" w:sz="4" w:space="0"/>
              <w:bottom w:val="single" w:color="auto" w:sz="4" w:space="0"/>
              <w:right w:val="single" w:color="auto" w:sz="4" w:space="0"/>
            </w:tcBorders>
            <w:vAlign w:val="center"/>
          </w:tcPr>
          <w:p w14:paraId="371A0640">
            <w:pPr>
              <w:widowControl/>
              <w:numPr>
                <w:ilvl w:val="0"/>
                <w:numId w:val="0"/>
              </w:numPr>
              <w:spacing w:line="320" w:lineRule="exact"/>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bidi="ar-SA"/>
              </w:rPr>
              <w:t>要求</w:t>
            </w:r>
          </w:p>
        </w:tc>
        <w:tc>
          <w:tcPr>
            <w:tcW w:w="950" w:type="pct"/>
            <w:tcBorders>
              <w:top w:val="single" w:color="auto" w:sz="4" w:space="0"/>
              <w:left w:val="single" w:color="auto" w:sz="4" w:space="0"/>
              <w:bottom w:val="single" w:color="auto" w:sz="4" w:space="0"/>
              <w:right w:val="single" w:color="auto" w:sz="4" w:space="0"/>
            </w:tcBorders>
            <w:vAlign w:val="center"/>
          </w:tcPr>
          <w:p w14:paraId="28BC02E3">
            <w:pPr>
              <w:widowControl/>
              <w:numPr>
                <w:ilvl w:val="0"/>
                <w:numId w:val="0"/>
              </w:numPr>
              <w:spacing w:line="320" w:lineRule="exact"/>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bidi="ar-SA"/>
              </w:rPr>
              <w:t>是否完全响应</w:t>
            </w:r>
            <w:r>
              <w:rPr>
                <w:rFonts w:hint="eastAsia" w:ascii="宋体" w:hAnsi="宋体" w:cs="宋体"/>
                <w:color w:val="auto"/>
                <w:kern w:val="0"/>
                <w:sz w:val="21"/>
                <w:szCs w:val="21"/>
                <w:lang w:val="en-US" w:eastAsia="zh-CN" w:bidi="ar-SA"/>
              </w:rPr>
              <w:br w:type="textWrapping"/>
            </w:r>
            <w:r>
              <w:rPr>
                <w:rFonts w:hint="eastAsia" w:ascii="宋体" w:hAnsi="宋体" w:cs="宋体"/>
                <w:color w:val="auto"/>
                <w:kern w:val="0"/>
                <w:sz w:val="21"/>
                <w:szCs w:val="21"/>
                <w:lang w:val="en-US" w:eastAsia="zh-CN" w:bidi="ar-SA"/>
              </w:rPr>
              <w:t>（是/否）</w:t>
            </w:r>
          </w:p>
        </w:tc>
        <w:tc>
          <w:tcPr>
            <w:tcW w:w="949" w:type="pct"/>
            <w:tcBorders>
              <w:top w:val="single" w:color="auto" w:sz="4" w:space="0"/>
              <w:left w:val="single" w:color="auto" w:sz="4" w:space="0"/>
              <w:bottom w:val="single" w:color="auto" w:sz="4" w:space="0"/>
              <w:right w:val="single" w:color="auto" w:sz="4" w:space="0"/>
            </w:tcBorders>
            <w:vAlign w:val="center"/>
          </w:tcPr>
          <w:p w14:paraId="77DA7A27">
            <w:pPr>
              <w:widowControl/>
              <w:numPr>
                <w:ilvl w:val="0"/>
                <w:numId w:val="0"/>
              </w:numPr>
              <w:spacing w:line="320" w:lineRule="exact"/>
              <w:jc w:val="center"/>
              <w:rPr>
                <w:rFonts w:hint="default" w:ascii="宋体" w:hAnsi="宋体" w:cs="宋体"/>
                <w:color w:val="auto"/>
                <w:kern w:val="0"/>
                <w:sz w:val="21"/>
                <w:szCs w:val="21"/>
                <w:lang w:val="en-US" w:eastAsia="zh-CN" w:bidi="ar-SA"/>
              </w:rPr>
            </w:pPr>
            <w:r>
              <w:rPr>
                <w:rFonts w:hint="eastAsia" w:ascii="宋体" w:hAnsi="宋体" w:cs="宋体"/>
                <w:color w:val="auto"/>
                <w:kern w:val="0"/>
                <w:sz w:val="21"/>
                <w:szCs w:val="21"/>
                <w:lang w:val="en-US" w:eastAsia="zh-CN" w:bidi="ar-SA"/>
              </w:rPr>
              <w:t>不能完全响应的原因</w:t>
            </w:r>
          </w:p>
        </w:tc>
      </w:tr>
      <w:tr w14:paraId="0383D33E">
        <w:tblPrEx>
          <w:tblCellMar>
            <w:top w:w="0" w:type="dxa"/>
            <w:left w:w="108" w:type="dxa"/>
            <w:bottom w:w="0" w:type="dxa"/>
            <w:right w:w="108" w:type="dxa"/>
          </w:tblCellMar>
        </w:tblPrEx>
        <w:trPr>
          <w:trHeight w:val="99" w:hRule="atLeast"/>
        </w:trPr>
        <w:tc>
          <w:tcPr>
            <w:tcW w:w="378" w:type="pct"/>
            <w:tcBorders>
              <w:top w:val="single" w:color="auto" w:sz="4" w:space="0"/>
              <w:left w:val="single" w:color="auto" w:sz="4" w:space="0"/>
              <w:bottom w:val="single" w:color="auto" w:sz="4" w:space="0"/>
              <w:right w:val="single" w:color="auto" w:sz="4" w:space="0"/>
            </w:tcBorders>
            <w:vAlign w:val="center"/>
          </w:tcPr>
          <w:p w14:paraId="09413996">
            <w:pPr>
              <w:widowControl/>
              <w:numPr>
                <w:ilvl w:val="0"/>
                <w:numId w:val="0"/>
              </w:numPr>
              <w:spacing w:line="320" w:lineRule="exact"/>
              <w:ind w:left="0" w:leftChars="0" w:firstLine="0" w:firstLineChars="0"/>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w:t>
            </w:r>
          </w:p>
        </w:tc>
        <w:tc>
          <w:tcPr>
            <w:tcW w:w="2721" w:type="pct"/>
            <w:tcBorders>
              <w:top w:val="single" w:color="auto" w:sz="4" w:space="0"/>
              <w:left w:val="single" w:color="auto" w:sz="4" w:space="0"/>
              <w:bottom w:val="single" w:color="auto" w:sz="4" w:space="0"/>
              <w:right w:val="single" w:color="auto" w:sz="4" w:space="0"/>
            </w:tcBorders>
            <w:vAlign w:val="center"/>
          </w:tcPr>
          <w:p w14:paraId="16F6A700">
            <w:pPr>
              <w:pStyle w:val="4"/>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（一）企业资质要求</w:t>
            </w:r>
          </w:p>
          <w:p w14:paraId="0F717ACD">
            <w:pPr>
              <w:widowControl/>
              <w:spacing w:line="320" w:lineRule="exact"/>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1、企业必须是符合《中华人民共和国药品管理法》《药品经营质量管理规范》等有关法律法规规定的合法中药饮片供应企业，具备有效的《营业执照》、《药品经营许可证》（经营范围须涵盖中药饮片）以及毒性中药饮片、野生动物、麻黄草等特殊药品经营许可证明文件。若为中药饮片生产企业直接参与，须同时具备有效的《药品生产许可证》。</w:t>
            </w:r>
          </w:p>
          <w:p w14:paraId="0F80CF1C">
            <w:pPr>
              <w:pStyle w:val="4"/>
              <w:ind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2、企业提供的中药饮片（</w:t>
            </w:r>
            <w:r>
              <w:rPr>
                <w:rFonts w:hint="eastAsia" w:ascii="宋体" w:hAnsi="宋体" w:eastAsia="宋体" w:cs="宋体"/>
                <w:sz w:val="24"/>
                <w:szCs w:val="24"/>
              </w:rPr>
              <w:t>含普通饮片、直接口服饮片、加工打粉饮片</w:t>
            </w:r>
            <w:r>
              <w:rPr>
                <w:rFonts w:hint="eastAsia" w:ascii="宋体" w:hAnsi="宋体" w:eastAsia="宋体" w:cs="宋体"/>
                <w:sz w:val="24"/>
                <w:szCs w:val="24"/>
                <w:lang w:eastAsia="zh-CN"/>
              </w:rPr>
              <w:t>）质量应符合《中华人民共和国药典》（最新版）、《广东省中药材标准》、《广东省中药炮制规范》及相应省份中药材标准与炮制规范的要求，并满足我院用药习惯。</w:t>
            </w:r>
          </w:p>
          <w:p w14:paraId="3558022A">
            <w:pPr>
              <w:pStyle w:val="4"/>
              <w:ind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3、企业应具备中药饮片追溯能力，能够按照国家及广东省药品监管部门要求，提供每批次饮片的追溯码信息或等效的电子追溯凭证，确保饮片来源可查、去向可追、责任可究。我院在验收时将逐步推行追溯码扫码核验管理。</w:t>
            </w:r>
          </w:p>
          <w:p w14:paraId="1889319E">
            <w:pPr>
              <w:pStyle w:val="4"/>
              <w:ind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4、企业须能全面响应《中药饮片采购需求目录》中所有品种的供应。对于目录外临时需求的饮片品种，企业应保证在接到采购通知后积极组织货源，无条件配合供应，确保临床用药不间断。</w:t>
            </w:r>
          </w:p>
          <w:p w14:paraId="34FDA2FE">
            <w:pPr>
              <w:widowControl/>
              <w:numPr>
                <w:ilvl w:val="0"/>
                <w:numId w:val="0"/>
              </w:numPr>
              <w:spacing w:line="320" w:lineRule="exact"/>
              <w:ind w:left="0" w:leftChars="0" w:firstLine="0" w:firstLineChars="0"/>
              <w:jc w:val="both"/>
              <w:rPr>
                <w:rFonts w:hint="eastAsia" w:ascii="宋体" w:hAnsi="宋体" w:eastAsia="宋体" w:cs="宋体"/>
                <w:sz w:val="24"/>
                <w:szCs w:val="24"/>
                <w:lang w:eastAsia="zh-CN"/>
              </w:rPr>
            </w:pPr>
          </w:p>
        </w:tc>
        <w:tc>
          <w:tcPr>
            <w:tcW w:w="950" w:type="pct"/>
            <w:tcBorders>
              <w:top w:val="single" w:color="auto" w:sz="4" w:space="0"/>
              <w:left w:val="single" w:color="auto" w:sz="4" w:space="0"/>
              <w:bottom w:val="single" w:color="auto" w:sz="4" w:space="0"/>
              <w:right w:val="single" w:color="auto" w:sz="4" w:space="0"/>
            </w:tcBorders>
            <w:vAlign w:val="center"/>
          </w:tcPr>
          <w:p w14:paraId="358BD4CC">
            <w:pPr>
              <w:widowControl/>
              <w:numPr>
                <w:ilvl w:val="0"/>
                <w:numId w:val="0"/>
              </w:numPr>
              <w:spacing w:line="320" w:lineRule="exact"/>
              <w:ind w:left="0" w:leftChars="0" w:firstLine="0" w:firstLineChars="0"/>
              <w:jc w:val="left"/>
              <w:rPr>
                <w:rFonts w:hint="eastAsia" w:ascii="宋体" w:hAnsi="宋体" w:eastAsia="宋体" w:cs="宋体"/>
                <w:sz w:val="24"/>
                <w:szCs w:val="24"/>
                <w:lang w:eastAsia="zh-CN"/>
              </w:rPr>
            </w:pPr>
          </w:p>
        </w:tc>
        <w:tc>
          <w:tcPr>
            <w:tcW w:w="949" w:type="pct"/>
            <w:tcBorders>
              <w:top w:val="single" w:color="auto" w:sz="4" w:space="0"/>
              <w:left w:val="single" w:color="auto" w:sz="4" w:space="0"/>
              <w:bottom w:val="single" w:color="auto" w:sz="4" w:space="0"/>
              <w:right w:val="single" w:color="auto" w:sz="4" w:space="0"/>
            </w:tcBorders>
            <w:vAlign w:val="center"/>
          </w:tcPr>
          <w:p w14:paraId="71FB05DD">
            <w:pPr>
              <w:widowControl/>
              <w:numPr>
                <w:ilvl w:val="0"/>
                <w:numId w:val="0"/>
              </w:numPr>
              <w:spacing w:line="320" w:lineRule="exact"/>
              <w:ind w:left="0" w:leftChars="0" w:firstLine="0" w:firstLineChars="0"/>
              <w:jc w:val="left"/>
              <w:rPr>
                <w:rFonts w:hint="eastAsia" w:ascii="宋体" w:hAnsi="宋体" w:eastAsia="宋体" w:cs="宋体"/>
                <w:sz w:val="24"/>
                <w:szCs w:val="24"/>
                <w:lang w:eastAsia="zh-CN"/>
              </w:rPr>
            </w:pPr>
          </w:p>
        </w:tc>
      </w:tr>
      <w:tr w14:paraId="17A16CFE">
        <w:tblPrEx>
          <w:tblCellMar>
            <w:top w:w="0" w:type="dxa"/>
            <w:left w:w="108" w:type="dxa"/>
            <w:bottom w:w="0" w:type="dxa"/>
            <w:right w:w="108" w:type="dxa"/>
          </w:tblCellMar>
        </w:tblPrEx>
        <w:trPr>
          <w:trHeight w:val="4245" w:hRule="atLeast"/>
        </w:trPr>
        <w:tc>
          <w:tcPr>
            <w:tcW w:w="378" w:type="pct"/>
            <w:tcBorders>
              <w:top w:val="single" w:color="auto" w:sz="4" w:space="0"/>
              <w:left w:val="single" w:color="auto" w:sz="4" w:space="0"/>
              <w:bottom w:val="single" w:color="auto" w:sz="4" w:space="0"/>
              <w:right w:val="single" w:color="auto" w:sz="4" w:space="0"/>
            </w:tcBorders>
            <w:vAlign w:val="center"/>
          </w:tcPr>
          <w:p w14:paraId="16B0C387">
            <w:pPr>
              <w:widowControl/>
              <w:spacing w:line="320" w:lineRule="exact"/>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w:t>
            </w:r>
          </w:p>
        </w:tc>
        <w:tc>
          <w:tcPr>
            <w:tcW w:w="2721" w:type="pct"/>
            <w:tcBorders>
              <w:top w:val="single" w:color="auto" w:sz="4" w:space="0"/>
              <w:left w:val="single" w:color="auto" w:sz="4" w:space="0"/>
              <w:bottom w:val="single" w:color="auto" w:sz="4" w:space="0"/>
              <w:right w:val="single" w:color="auto" w:sz="4" w:space="0"/>
            </w:tcBorders>
            <w:vAlign w:val="center"/>
          </w:tcPr>
          <w:p w14:paraId="2A6FD0A1">
            <w:pPr>
              <w:pStyle w:val="4"/>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（二）其他服务的要求</w:t>
            </w:r>
          </w:p>
          <w:p w14:paraId="0126AF25">
            <w:pPr>
              <w:pStyle w:val="4"/>
              <w:ind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1、中药粉末加工服务：企业须具备中药饮片打粉加工能力，企业须无条件响应我院提出的不同品种、不同目数的打粉要求，并保证加工过程符合药品生产质量管理规范，杜绝交叉污染，确保粉末质量安全。</w:t>
            </w:r>
          </w:p>
          <w:p w14:paraId="02EF54C5">
            <w:pPr>
              <w:pStyle w:val="4"/>
              <w:ind w:firstLine="480" w:firstLineChars="200"/>
              <w:jc w:val="both"/>
              <w:rPr>
                <w:rFonts w:hint="eastAsia" w:ascii="宋体" w:hAnsi="宋体" w:eastAsia="宋体" w:cs="宋体"/>
                <w:color w:val="auto"/>
                <w:kern w:val="0"/>
                <w:sz w:val="24"/>
                <w:szCs w:val="24"/>
                <w:lang w:val="en-US" w:eastAsia="zh-CN"/>
              </w:rPr>
            </w:pPr>
            <w:r>
              <w:rPr>
                <w:rFonts w:hint="eastAsia" w:ascii="宋体" w:hAnsi="宋体" w:eastAsia="宋体" w:cs="宋体"/>
                <w:sz w:val="24"/>
                <w:szCs w:val="24"/>
                <w:lang w:eastAsia="zh-CN"/>
              </w:rPr>
              <w:t>2、配送服务要求：企业须按我院采购计划（包括品种、规格、数量）在48小时内送到医院，急需药品24小时配送到位，保证1周多次送货，能供应多种包装规格，如3g、5g、10g、15g、20g、500g或以上规格等。</w:t>
            </w:r>
          </w:p>
        </w:tc>
        <w:tc>
          <w:tcPr>
            <w:tcW w:w="950" w:type="pct"/>
            <w:tcBorders>
              <w:top w:val="single" w:color="auto" w:sz="4" w:space="0"/>
              <w:left w:val="single" w:color="auto" w:sz="4" w:space="0"/>
              <w:bottom w:val="single" w:color="auto" w:sz="4" w:space="0"/>
              <w:right w:val="single" w:color="auto" w:sz="4" w:space="0"/>
            </w:tcBorders>
            <w:vAlign w:val="center"/>
          </w:tcPr>
          <w:p w14:paraId="3EA85358">
            <w:pPr>
              <w:widowControl/>
              <w:spacing w:line="320" w:lineRule="exact"/>
              <w:ind w:firstLine="480" w:firstLineChars="200"/>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 xml:space="preserve"> </w:t>
            </w:r>
          </w:p>
        </w:tc>
        <w:tc>
          <w:tcPr>
            <w:tcW w:w="949" w:type="pct"/>
            <w:tcBorders>
              <w:top w:val="single" w:color="auto" w:sz="4" w:space="0"/>
              <w:left w:val="single" w:color="auto" w:sz="4" w:space="0"/>
              <w:bottom w:val="single" w:color="auto" w:sz="4" w:space="0"/>
              <w:right w:val="single" w:color="auto" w:sz="4" w:space="0"/>
            </w:tcBorders>
            <w:vAlign w:val="center"/>
          </w:tcPr>
          <w:p w14:paraId="3B4CF4AE">
            <w:pPr>
              <w:widowControl/>
              <w:spacing w:line="320" w:lineRule="exact"/>
              <w:ind w:firstLine="480" w:firstLineChars="200"/>
              <w:rPr>
                <w:rFonts w:hint="eastAsia" w:ascii="宋体" w:hAnsi="宋体" w:eastAsia="宋体" w:cs="宋体"/>
                <w:color w:val="auto"/>
                <w:kern w:val="0"/>
                <w:sz w:val="24"/>
                <w:szCs w:val="24"/>
                <w:lang w:val="en-US" w:eastAsia="zh-CN"/>
              </w:rPr>
            </w:pPr>
          </w:p>
        </w:tc>
      </w:tr>
      <w:tr w14:paraId="76317147">
        <w:tblPrEx>
          <w:tblCellMar>
            <w:top w:w="0" w:type="dxa"/>
            <w:left w:w="108" w:type="dxa"/>
            <w:bottom w:w="0" w:type="dxa"/>
            <w:right w:w="108" w:type="dxa"/>
          </w:tblCellMar>
        </w:tblPrEx>
        <w:trPr>
          <w:trHeight w:val="5931" w:hRule="atLeast"/>
        </w:trPr>
        <w:tc>
          <w:tcPr>
            <w:tcW w:w="378" w:type="pct"/>
            <w:tcBorders>
              <w:top w:val="single" w:color="auto" w:sz="4" w:space="0"/>
              <w:left w:val="single" w:color="auto" w:sz="4" w:space="0"/>
              <w:bottom w:val="single" w:color="auto" w:sz="4" w:space="0"/>
              <w:right w:val="single" w:color="auto" w:sz="4" w:space="0"/>
            </w:tcBorders>
            <w:vAlign w:val="center"/>
          </w:tcPr>
          <w:p w14:paraId="470595AC">
            <w:pPr>
              <w:widowControl/>
              <w:spacing w:line="320" w:lineRule="exact"/>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w:t>
            </w:r>
          </w:p>
        </w:tc>
        <w:tc>
          <w:tcPr>
            <w:tcW w:w="2721" w:type="pct"/>
            <w:tcBorders>
              <w:top w:val="single" w:color="auto" w:sz="4" w:space="0"/>
              <w:left w:val="single" w:color="auto" w:sz="4" w:space="0"/>
              <w:bottom w:val="single" w:color="auto" w:sz="4" w:space="0"/>
              <w:right w:val="single" w:color="auto" w:sz="4" w:space="0"/>
            </w:tcBorders>
            <w:vAlign w:val="center"/>
          </w:tcPr>
          <w:p w14:paraId="3689E85A">
            <w:pPr>
              <w:pStyle w:val="4"/>
              <w:ind w:firstLine="240" w:firstLineChars="1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（三）其他说明</w:t>
            </w:r>
          </w:p>
          <w:p w14:paraId="41FB1B5E">
            <w:pPr>
              <w:pStyle w:val="4"/>
              <w:ind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在合同履行期间，如遇国家或上级部门重大政策调整影响（如：政府组织进行统一集中招标采购等），采购人和中标供应商均应遵守国家或上级部门的规定，在未违反招标原则及政策规定下双方协商签订补充协议或无条件终止合同，并执行相关政策文件，双方均不负赔偿责任。</w:t>
            </w:r>
          </w:p>
          <w:p w14:paraId="7AEA48DB">
            <w:pPr>
              <w:pStyle w:val="4"/>
              <w:ind w:firstLine="480" w:firstLineChars="200"/>
              <w:jc w:val="both"/>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若中药饮片品种</w:t>
            </w:r>
            <w:r>
              <w:rPr>
                <w:rFonts w:hint="eastAsia" w:ascii="宋体" w:hAnsi="宋体" w:eastAsia="宋体" w:cs="宋体"/>
                <w:sz w:val="24"/>
                <w:szCs w:val="24"/>
                <w:lang w:val="en-US" w:eastAsia="zh-CN"/>
              </w:rPr>
              <w:t>纳入政府组织的</w:t>
            </w:r>
            <w:r>
              <w:rPr>
                <w:rFonts w:hint="eastAsia" w:ascii="宋体" w:hAnsi="宋体" w:eastAsia="宋体" w:cs="宋体"/>
                <w:sz w:val="24"/>
                <w:szCs w:val="24"/>
                <w:lang w:eastAsia="zh-CN"/>
              </w:rPr>
              <w:t>药品集中带量采购，我院有权依法依规调整采购方式，优先执行集采中选结果。若原供应企业未取得对应集采品种的配送资格或无法按中选价格供应，我院可单方面调整供应商或终止该品种的合同供应关系，企业不得因此主张违约责任。</w:t>
            </w:r>
          </w:p>
          <w:p w14:paraId="288D116D">
            <w:pPr>
              <w:widowControl/>
              <w:spacing w:line="320" w:lineRule="exact"/>
              <w:ind w:firstLine="480" w:firstLineChars="200"/>
              <w:jc w:val="both"/>
              <w:rPr>
                <w:rFonts w:hint="eastAsia" w:ascii="宋体" w:hAnsi="宋体" w:eastAsia="宋体" w:cs="宋体"/>
                <w:color w:val="auto"/>
                <w:kern w:val="0"/>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服务</w:t>
            </w:r>
            <w:r>
              <w:rPr>
                <w:rFonts w:hint="eastAsia" w:ascii="宋体" w:hAnsi="宋体" w:eastAsia="宋体" w:cs="宋体"/>
                <w:sz w:val="24"/>
                <w:szCs w:val="24"/>
                <w:lang w:eastAsia="zh-CN"/>
              </w:rPr>
              <w:t>合同期</w:t>
            </w:r>
            <w:r>
              <w:rPr>
                <w:rFonts w:hint="eastAsia" w:ascii="宋体" w:hAnsi="宋体" w:eastAsia="宋体" w:cs="宋体"/>
                <w:sz w:val="24"/>
                <w:szCs w:val="24"/>
                <w:lang w:val="en-US" w:eastAsia="zh-CN"/>
              </w:rPr>
              <w:t>签订采用“1+1”年签订方式（首次合同期限为1年，经年度考核合格后续签1年）</w:t>
            </w:r>
            <w:r>
              <w:rPr>
                <w:rFonts w:hint="eastAsia" w:ascii="宋体" w:hAnsi="宋体" w:eastAsia="宋体" w:cs="宋体"/>
                <w:sz w:val="24"/>
                <w:szCs w:val="24"/>
                <w:lang w:eastAsia="zh-CN"/>
              </w:rPr>
              <w:t>。合同期内，我院将依据《中药饮片质量评估制度》对供应企业进行定期考核，考核不合格者，我院有权提前终止合同。</w:t>
            </w:r>
          </w:p>
        </w:tc>
        <w:tc>
          <w:tcPr>
            <w:tcW w:w="950" w:type="pct"/>
            <w:tcBorders>
              <w:top w:val="single" w:color="auto" w:sz="4" w:space="0"/>
              <w:left w:val="single" w:color="auto" w:sz="4" w:space="0"/>
              <w:bottom w:val="single" w:color="auto" w:sz="4" w:space="0"/>
              <w:right w:val="single" w:color="auto" w:sz="4" w:space="0"/>
            </w:tcBorders>
            <w:vAlign w:val="center"/>
          </w:tcPr>
          <w:p w14:paraId="34BD7479">
            <w:pPr>
              <w:widowControl/>
              <w:spacing w:line="320" w:lineRule="exact"/>
              <w:ind w:firstLine="480" w:firstLineChars="200"/>
              <w:rPr>
                <w:rFonts w:hint="eastAsia" w:ascii="宋体" w:hAnsi="宋体" w:eastAsia="宋体" w:cs="宋体"/>
                <w:color w:val="auto"/>
                <w:kern w:val="0"/>
                <w:sz w:val="24"/>
                <w:szCs w:val="24"/>
                <w:lang w:val="en-US" w:eastAsia="zh-CN"/>
              </w:rPr>
            </w:pPr>
          </w:p>
        </w:tc>
        <w:tc>
          <w:tcPr>
            <w:tcW w:w="949" w:type="pct"/>
            <w:tcBorders>
              <w:top w:val="single" w:color="auto" w:sz="4" w:space="0"/>
              <w:left w:val="single" w:color="auto" w:sz="4" w:space="0"/>
              <w:bottom w:val="single" w:color="auto" w:sz="4" w:space="0"/>
              <w:right w:val="single" w:color="auto" w:sz="4" w:space="0"/>
            </w:tcBorders>
            <w:vAlign w:val="center"/>
          </w:tcPr>
          <w:p w14:paraId="1D03AEF4">
            <w:pPr>
              <w:widowControl/>
              <w:spacing w:line="320" w:lineRule="exact"/>
              <w:ind w:firstLine="480" w:firstLineChars="200"/>
              <w:rPr>
                <w:rFonts w:hint="eastAsia" w:ascii="宋体" w:hAnsi="宋体" w:eastAsia="宋体" w:cs="宋体"/>
                <w:color w:val="auto"/>
                <w:kern w:val="0"/>
                <w:sz w:val="24"/>
                <w:szCs w:val="24"/>
                <w:lang w:val="en-US" w:eastAsia="zh-CN"/>
              </w:rPr>
            </w:pPr>
          </w:p>
        </w:tc>
      </w:tr>
      <w:tr w14:paraId="62E57E07">
        <w:tblPrEx>
          <w:tblCellMar>
            <w:top w:w="0" w:type="dxa"/>
            <w:left w:w="108" w:type="dxa"/>
            <w:bottom w:w="0" w:type="dxa"/>
            <w:right w:w="108" w:type="dxa"/>
          </w:tblCellMar>
        </w:tblPrEx>
        <w:trPr>
          <w:trHeight w:val="461" w:hRule="atLeast"/>
        </w:trPr>
        <w:tc>
          <w:tcPr>
            <w:tcW w:w="378" w:type="pct"/>
            <w:tcBorders>
              <w:top w:val="single" w:color="auto" w:sz="4" w:space="0"/>
              <w:left w:val="single" w:color="auto" w:sz="4" w:space="0"/>
              <w:bottom w:val="single" w:color="auto" w:sz="4" w:space="0"/>
              <w:right w:val="single" w:color="auto" w:sz="4" w:space="0"/>
            </w:tcBorders>
            <w:vAlign w:val="center"/>
          </w:tcPr>
          <w:p w14:paraId="73D9E901">
            <w:pPr>
              <w:widowControl/>
              <w:spacing w:line="320" w:lineRule="exact"/>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w:t>
            </w:r>
          </w:p>
        </w:tc>
        <w:tc>
          <w:tcPr>
            <w:tcW w:w="2721" w:type="pct"/>
            <w:tcBorders>
              <w:top w:val="single" w:color="auto" w:sz="4" w:space="0"/>
              <w:left w:val="single" w:color="auto" w:sz="4" w:space="0"/>
              <w:bottom w:val="single" w:color="auto" w:sz="4" w:space="0"/>
              <w:right w:val="single" w:color="auto" w:sz="4" w:space="0"/>
            </w:tcBorders>
            <w:vAlign w:val="center"/>
          </w:tcPr>
          <w:p w14:paraId="04F2E08C">
            <w:pPr>
              <w:widowControl/>
              <w:spacing w:line="320" w:lineRule="exac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供应《清远市第三人民医院</w:t>
            </w:r>
            <w:r>
              <w:rPr>
                <w:rFonts w:hint="eastAsia" w:ascii="宋体" w:hAnsi="宋体" w:eastAsia="宋体" w:cs="宋体"/>
                <w:sz w:val="24"/>
                <w:szCs w:val="24"/>
                <w:lang w:eastAsia="zh-CN"/>
              </w:rPr>
              <w:t>中药饮片采购需求目录</w:t>
            </w:r>
            <w:r>
              <w:rPr>
                <w:rFonts w:hint="eastAsia" w:ascii="宋体" w:hAnsi="宋体" w:eastAsia="宋体" w:cs="宋体"/>
                <w:color w:val="auto"/>
                <w:kern w:val="0"/>
                <w:sz w:val="24"/>
                <w:szCs w:val="24"/>
                <w:lang w:val="en-US" w:eastAsia="zh-CN"/>
              </w:rPr>
              <w:t>》（详见附件</w:t>
            </w:r>
            <w:r>
              <w:rPr>
                <w:rFonts w:hint="eastAsia" w:ascii="宋体" w:hAnsi="宋体" w:cs="宋体"/>
                <w:color w:val="auto"/>
                <w:kern w:val="0"/>
                <w:sz w:val="24"/>
                <w:szCs w:val="24"/>
                <w:lang w:val="en-US" w:eastAsia="zh-CN"/>
              </w:rPr>
              <w:t>3-1</w:t>
            </w:r>
            <w:r>
              <w:rPr>
                <w:rFonts w:hint="eastAsia" w:ascii="宋体" w:hAnsi="宋体" w:eastAsia="宋体" w:cs="宋体"/>
                <w:color w:val="auto"/>
                <w:kern w:val="0"/>
                <w:sz w:val="24"/>
                <w:szCs w:val="24"/>
                <w:lang w:val="en-US" w:eastAsia="zh-CN"/>
              </w:rPr>
              <w:t>）</w:t>
            </w:r>
          </w:p>
        </w:tc>
        <w:tc>
          <w:tcPr>
            <w:tcW w:w="950" w:type="pct"/>
            <w:tcBorders>
              <w:top w:val="single" w:color="auto" w:sz="4" w:space="0"/>
              <w:left w:val="single" w:color="auto" w:sz="4" w:space="0"/>
              <w:bottom w:val="single" w:color="auto" w:sz="4" w:space="0"/>
              <w:right w:val="single" w:color="auto" w:sz="4" w:space="0"/>
            </w:tcBorders>
            <w:vAlign w:val="center"/>
          </w:tcPr>
          <w:p w14:paraId="1C4D52C6">
            <w:pPr>
              <w:widowControl/>
              <w:spacing w:line="320" w:lineRule="exact"/>
              <w:rPr>
                <w:rFonts w:hint="eastAsia" w:ascii="宋体" w:hAnsi="宋体" w:eastAsia="宋体" w:cs="宋体"/>
                <w:color w:val="auto"/>
                <w:kern w:val="0"/>
                <w:sz w:val="24"/>
                <w:szCs w:val="24"/>
                <w:lang w:val="en-US" w:eastAsia="zh-CN"/>
              </w:rPr>
            </w:pPr>
          </w:p>
        </w:tc>
        <w:tc>
          <w:tcPr>
            <w:tcW w:w="949" w:type="pct"/>
            <w:tcBorders>
              <w:top w:val="single" w:color="auto" w:sz="4" w:space="0"/>
              <w:left w:val="single" w:color="auto" w:sz="4" w:space="0"/>
              <w:bottom w:val="single" w:color="auto" w:sz="4" w:space="0"/>
              <w:right w:val="single" w:color="auto" w:sz="4" w:space="0"/>
            </w:tcBorders>
            <w:vAlign w:val="center"/>
          </w:tcPr>
          <w:p w14:paraId="202A373D">
            <w:pPr>
              <w:widowControl/>
              <w:spacing w:line="320" w:lineRule="exact"/>
              <w:ind w:firstLine="480" w:firstLineChars="200"/>
              <w:rPr>
                <w:rFonts w:hint="eastAsia" w:ascii="宋体" w:hAnsi="宋体" w:eastAsia="宋体" w:cs="宋体"/>
                <w:color w:val="auto"/>
                <w:kern w:val="0"/>
                <w:sz w:val="24"/>
                <w:szCs w:val="24"/>
                <w:lang w:val="en-US" w:eastAsia="zh-CN"/>
              </w:rPr>
            </w:pPr>
          </w:p>
        </w:tc>
      </w:tr>
    </w:tbl>
    <w:p w14:paraId="090E7AA6">
      <w:pPr>
        <w:ind w:firstLine="3080" w:firstLineChars="700"/>
        <w:jc w:val="both"/>
        <w:rPr>
          <w:rFonts w:hint="default" w:ascii="方正小标宋_GBK" w:hAnsi="方正小标宋_GBK" w:eastAsia="方正小标宋_GBK" w:cs="方正小标宋_GBK"/>
          <w:sz w:val="44"/>
          <w:szCs w:val="4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F8E39D-BB52-45AD-801B-5CF1119FD44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00000001" w:usb1="080E0000" w:usb2="00000000" w:usb3="00000000" w:csb0="00040000" w:csb1="00000000"/>
    <w:embedRegular r:id="rId2" w:fontKey="{6BE65047-09C1-48E9-AFE5-6B7171DE3533}"/>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jZmNiNzkzMGY0MWJjM2FkNDQwNzc5NGM4YTI2MzMifQ=="/>
  </w:docVars>
  <w:rsids>
    <w:rsidRoot w:val="736F6417"/>
    <w:rsid w:val="08B2681B"/>
    <w:rsid w:val="11D67598"/>
    <w:rsid w:val="22D93B65"/>
    <w:rsid w:val="35225D8D"/>
    <w:rsid w:val="421516F9"/>
    <w:rsid w:val="428611BC"/>
    <w:rsid w:val="56BA2A52"/>
    <w:rsid w:val="6EAE1F4C"/>
    <w:rsid w:val="7075449A"/>
    <w:rsid w:val="736F6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77ddf934-8bc3-47ed-bbaa-c25df78f73f2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F717ACD</paraID>
      <start>0</start>
      <end>2</end>
      <status>unmodified</status>
      <modifiedWord/>
      <trackRevisions>false</trackRevisions>
    </reviewItem>
    <reviewItem>
      <errorID>ee89a781-52b0-4d2c-9172-fe1ac21662cf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F717ACD</paraID>
      <start>66</start>
      <end>69</end>
      <status>unmodified</status>
      <modifiedWord/>
      <trackRevisions>false</trackRevisions>
    </reviewItem>
    <reviewItem>
      <errorID>76057d24-7a73-4786-8db5-df42729588ae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F80CF1C</paraID>
      <start>0</start>
      <end>2</end>
      <status>unmodified</status>
      <modifiedWord/>
      <trackRevisions>false</trackRevisions>
    </reviewItem>
    <reviewItem>
      <errorID>a2cec145-94d7-4312-ac67-3b37eb285f02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F80CF1C</paraID>
      <start>63</start>
      <end>66</end>
      <status>unmodified</status>
      <modifiedWord/>
      <trackRevisions>false</trackRevisions>
    </reviewItem>
    <reviewItem>
      <errorID>1207e916-ffb8-4279-ba7b-1b37a596c859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3558022A</paraID>
      <start>0</start>
      <end>2</end>
      <status>unmodified</status>
      <modifiedWord/>
      <trackRevisions>false</trackRevisions>
    </reviewItem>
    <reviewItem>
      <errorID>3f52a532-debc-4e3c-8dfb-b7f00585bac0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1889319E</paraID>
      <start>0</start>
      <end>2</end>
      <status>unmodified</status>
      <modifiedWord/>
      <trackRevisions>false</trackRevisions>
    </reviewItem>
    <reviewItem>
      <errorID>745a81b7-177e-47ec-8f4f-ce43560dc4dd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126AF25</paraID>
      <start>0</start>
      <end>2</end>
      <status>unmodified</status>
      <modifiedWord/>
      <trackRevisions>false</trackRevisions>
    </reviewItem>
    <reviewItem>
      <errorID>38e38004-e734-4bac-ac2d-f6ca308be08f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2EF54C5</paraID>
      <start>0</start>
      <end>2</end>
      <status>unmodified</status>
      <modifiedWord/>
      <trackRevisions>false</trackRevisions>
    </reviewItem>
    <reviewItem>
      <errorID>95b7e984-4ac3-4dc9-8e24-c8d0fc7a85ea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41FB1B5E</paraID>
      <start>0</start>
      <end>2</end>
      <status>unmodified</status>
      <modifiedWord/>
      <trackRevisions>false</trackRevisions>
    </reviewItem>
    <reviewItem>
      <errorID>53245a24-9727-4749-a02e-6525da1285a7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7AEA48DB</paraID>
      <start>0</start>
      <end>2</end>
      <status>unmodified</status>
      <modifiedWord/>
      <trackRevisions>false</trackRevisions>
    </reviewItem>
    <reviewItem>
      <errorID>dab8a906-74dc-4221-9f6a-ea89d636905b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288D116D</paraID>
      <start>0</start>
      <end>2</end>
      <status>unmodified</status>
      <modifiedWord/>
      <trackRevisions>false</trackRevisions>
    </reviewItem>
    <reviewItem>
      <errorID>bd0e6249-09ab-43c5-b1ce-6b010a991033</errorID>
      <errorWord>取用</errorWord>
      <group>L1_Word</group>
      <groupName>字词问题</groupName>
      <ability>L2_Typo</ability>
      <abilityName>字词错误</abilityName>
      <candidateList>
        <item>采用</item>
      </candidateList>
      <explain/>
      <paraID>288D116D</paraID>
      <start>9</start>
      <end>11</end>
      <status>unmodified</status>
      <modifiedWord/>
      <trackRevisions>false</trackRevisions>
    </reviewItem>
  </reviewItems>
  <config/>
</contractReview>
</file>

<file path=customXml/itemProps1.xml><?xml version="1.0" encoding="utf-8"?>
<ds:datastoreItem xmlns:ds="http://schemas.openxmlformats.org/officeDocument/2006/customXml" ds:itemID="{418f02fa-dda6-4901-b040-0620ec4615f9}">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1054</Words>
  <Characters>1069</Characters>
  <Lines>0</Lines>
  <Paragraphs>0</Paragraphs>
  <TotalTime>159</TotalTime>
  <ScaleCrop>false</ScaleCrop>
  <LinksUpToDate>false</LinksUpToDate>
  <CharactersWithSpaces>1069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2024-10-18T06:47:00Z</dcterms:created>
  <dc:creator>涛.</dc:creator>
  <cp:lastModifiedBy>。</cp:lastModifiedBy>
  <cp:lastPrinted>2026-08-06T06:43:14Z</cp:lastPrinted>
  <dcterms:modified xsi:type="dcterms:W3CDTF">2026-08-06T06:46:11Z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7FB4563EB5004FFC96F55CDD0C36DE5A_13</vt:lpwstr>
  </property>
  <property fmtid="{D5CDD505-2E9C-101B-9397-08002B2CF9AE}" pid="4" name="KSOTemplateDocerSaveRecord">
    <vt:lpwstr>eyJoZGlkIjoiZGJkOWEwYWJkZTBiMjMxYmFhYTI2MGNmOGQyYjQ1NjgiLCJ1c2VySWQiOiI2NzQ4NjQ4MzcifQ==</vt:lpwstr>
  </property>
</Properties>
</file>